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5A" w:rsidRPr="0057295A" w:rsidRDefault="0057295A" w:rsidP="0057295A">
      <w:pPr>
        <w:shd w:val="clear" w:color="auto" w:fill="FFFFFF"/>
        <w:spacing w:before="100" w:beforeAutospacing="1" w:after="75" w:line="600" w:lineRule="atLeast"/>
        <w:jc w:val="center"/>
        <w:outlineLvl w:val="0"/>
        <w:rPr>
          <w:rFonts w:ascii="Arial" w:eastAsia="Times New Roman" w:hAnsi="Arial" w:cs="Arial"/>
          <w:i/>
          <w:iCs/>
          <w:color w:val="007AC3"/>
          <w:spacing w:val="-5"/>
          <w:kern w:val="36"/>
          <w:sz w:val="24"/>
          <w:szCs w:val="24"/>
          <w:lang w:eastAsia="hu-HU"/>
        </w:rPr>
      </w:pPr>
      <w:r w:rsidRPr="0057295A">
        <w:rPr>
          <w:rFonts w:ascii="Arial" w:eastAsia="Times New Roman" w:hAnsi="Arial" w:cs="Arial"/>
          <w:b/>
          <w:bCs/>
          <w:i/>
          <w:iCs/>
          <w:color w:val="007AC3"/>
          <w:spacing w:val="-5"/>
          <w:kern w:val="36"/>
          <w:sz w:val="24"/>
          <w:szCs w:val="24"/>
          <w:lang w:eastAsia="hu-HU"/>
        </w:rPr>
        <w:t>151/2003. (IX. 22.) Korm. rendelet</w:t>
      </w:r>
      <w:r w:rsidRPr="0057295A">
        <w:rPr>
          <w:rFonts w:ascii="Arial" w:eastAsia="Times New Roman" w:hAnsi="Arial" w:cs="Arial"/>
          <w:b/>
          <w:bCs/>
          <w:i/>
          <w:iCs/>
          <w:color w:val="007AC3"/>
          <w:spacing w:val="-5"/>
          <w:kern w:val="36"/>
          <w:sz w:val="24"/>
          <w:szCs w:val="24"/>
          <w:lang w:eastAsia="hu-HU"/>
        </w:rPr>
        <w:br/>
        <w:t>az egyes tartós fogyasztási cikkekre</w:t>
      </w:r>
      <w:bookmarkStart w:id="0" w:name="_GoBack"/>
      <w:bookmarkEnd w:id="0"/>
      <w:r w:rsidRPr="0057295A">
        <w:rPr>
          <w:rFonts w:ascii="Arial" w:eastAsia="Times New Roman" w:hAnsi="Arial" w:cs="Arial"/>
          <w:b/>
          <w:bCs/>
          <w:i/>
          <w:iCs/>
          <w:color w:val="007AC3"/>
          <w:spacing w:val="-5"/>
          <w:kern w:val="36"/>
          <w:sz w:val="24"/>
          <w:szCs w:val="24"/>
          <w:lang w:eastAsia="hu-HU"/>
        </w:rPr>
        <w:t xml:space="preserve"> vonatkozó kötelező jótállásról</w:t>
      </w:r>
    </w:p>
    <w:p w:rsidR="0057295A" w:rsidRPr="0057295A" w:rsidRDefault="0057295A" w:rsidP="0057295A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Magyar Köztársaság Polgári Törvénykönyvéről szóló 1959. évi IV. törvény (Ptk.) 248. §-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ában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foglaltakra figyelemmel a Kormány a következő rendeletet alkotja: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1. §</w:t>
      </w:r>
      <w:hyperlink r:id="rId4" w:anchor="lbj0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 A Polgári Törvénykönyv szerinti fogyasztó és vállalkozás közötti szerződés keretében eladott, az 1. mellékletben felsorolt új tartós fogyasztási cikkekre (a továbbiakban: fogyasztási cikk) e rendelet szabályai szerint jótállási kötelezettség terjed ki.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 A jótállási kötelezettség teljesítése azt a vállalkozást terheli, amelyet a fogyasztóval kötött szerződés a szerződés tárgyát képező szolgáltatás nyújtására kötelez. A jótállásból eredő jogokat a fogyasztási cikk tulajdonosa érvényesítheti, feltéve, hogy fogyasztónak minősül.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(3) Az e rendelet szerinti jótállás érvényességéhez, valamint a jótállásból eredő jogok érvényesítéséhez a vállalkozás az e rendeletben foglaltakon túl további követelményt nem támaszthat a fogyasztóval szemben, kivéve, ha a fogyasztási cikk megfelelő üzembe helyezése más módon nem biztosítható és a követelmény teljesítése nem jelent aránytalan terhet a fogyasztó számára.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(4) Ha a gyártó a fogyasztási cikkre az e rendeletben foglaltaknál kedvezőbb jótállási feltételeket vállal, a jótállás alapján a vállalkozást megillető jogok a fogyasztó és vállalkozás közötti szerződés teljesítésének időpontjában átszállnak a fogyasztóra.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(5) A fogyasztó és vállalkozás közötti szerződésben semmis az a kikötés, amely e rendelet rendelkezéseitől a fogyasztó hátrányára tér el. Az érvénytelen megállapodás helyébe e rendelet rendelkezései lépnek.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2. §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</w:t>
      </w:r>
      <w:hyperlink r:id="rId5" w:anchor="lbj1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jótállás időtartama egy év. E határidő elmulasztása jogvesztéssel jár.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</w:t>
      </w:r>
      <w:hyperlink r:id="rId6" w:anchor="lbj2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jótállási határidő a fogyasztási cikk fogyasztó részére történő átadása, vagy ha az üzembe helyezést a vállalkozás vagy annak megbízottja végzi, az üzembe helyezés napjával kezdődik.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3. §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</w:t>
      </w:r>
      <w:hyperlink r:id="rId7" w:anchor="lbj3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vállalkozás köteles a fogyasztási cikkel együtt a jótállási jegyet a fogyasztó rendelkezésére bocsátani olyan formában, amely a jótállási határidő végéig biztosítja a jótállási jegy tartalmának jól olvashatóságát.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 A jótállási jegyet közérthetően és egyértelműen, magyar nyelven kell megfogalmazni.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(3)</w:t>
      </w:r>
      <w:hyperlink r:id="rId8" w:anchor="lbj4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jótállási jegyen fel kell tüntetni: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vállalkozás nevét, címét,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b)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fogyasztási cikk azonosítására alkalmas megnevezését és típusát, valamint - ha van - gyártási számát,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c)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gyártó nevét, címét, ha a gyártó nem azonos a vállalkozással,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lastRenderedPageBreak/>
        <w:t>d)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szerződéskötés, valamint a fogyasztási cikk fogyasztó részére történő átadásának vagy - a vállalkozás vagy közreműködője általi üzembe helyezés esetén - a fogyasztási cikk üzembe helyezésének időpontját,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e)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fogyasztó jótállásból eredő jogait, azok érvényesíthetőségének határidejét, helyét és feltételeit, továbbá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f)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az arról szóló tájékoztatást, hogy fogyasztói jogvita esetén a fogyasztó a megyei (fővárosi) kereskedelmi és iparkamarák mellett működő békéltető testület eljárását is kezdeményezheti.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(4)</w:t>
      </w:r>
      <w:hyperlink r:id="rId9" w:anchor="lbj5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jótállási jegynek utalnia kell arra, hogy a jótállás a fogyasztó jogszabályból eredő jogait nem érinti.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4. §</w:t>
      </w:r>
      <w:hyperlink r:id="rId10" w:anchor="lbj6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(1) A jótállásból eredő jogok - a (3) bekezdésben foglalt kivétellel - a jótállási jeggyel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érvényesíthetőek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 A jótállási jegy szabálytalan kiállítása vagy a jótállási jegy fogyasztó rendelkezésére bocsátásának elmaradása a jótállás érvényességét nem érinti.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(3) A jótállási jegy fogyasztó rendelkezésére bocsátásának elmaradása esetén a szerződés megkötését bizonyítottnak kell tekinteni, ha az ellenérték megfizetését igazoló bizonylatot - az általános forgalmi adóról szóló törvény alapján kibocsátott számlát vagy nyugtát - a fogyasztó bemutatja. Ebben az esetben a jótállásból eredő jogok az ellenérték megfizetését igazoló bizonylattal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érvényesíthetőek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5. §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</w:t>
      </w:r>
      <w:hyperlink r:id="rId11" w:anchor="lbj7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fogyasztó a kijavítás iránti igényét a vállalkozás által a jótállási jegyen feltüntetett javítószolgálatnál közvetlenül is érvényesítheti.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 A kijavítás során a fogyasztási cikkbe csak új alkatrész kerülhet beépítésre.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(3)</w:t>
      </w:r>
      <w:hyperlink r:id="rId12" w:anchor="lbj8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Kijavítás iránti igény teljesítésekor a vállalkozásnak vagy - a javítószolgálatnál közvetlenül érvényesített kijavítás iránti igény esetén - a javítószolgálatnak a jótállási jegyen vagy ahhoz csatoltan fel kell tüntetnie: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kijavítás iránti igény bejelentésének és a kijavításra történő átvételnek az időpontját, valamint gépjármű esetében a kilométeróra állását,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b)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hiba okát és a kijavítás módját, továbbá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c)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 fogyasztási cikk fogyasztó részére történő visszaadásának időpontját, valamint gépjármű esetében a kilométeróra állását.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(4)</w:t>
      </w:r>
      <w:hyperlink r:id="rId13" w:anchor="lbj9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Kicserélés iránti igény teljesítésekor a vállalkozásnak a jótállási jegyen fel kell tüntetnie a kicserélés tényét és időpontját.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6. §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 A rögzített bekötésű, illetve a 10 kg-nál súlyosabb, vagy tömegközlekedési eszközön kézi csomagként nem szállítható fogyasztási cikket - a járművek kivételével - az üzemeltetés helyén kell megjavítani.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>(2)</w:t>
      </w:r>
      <w:hyperlink r:id="rId14" w:anchor="lbj10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Ha a kijavítás az üzemeltetés helyén nem végezhető el, a le- és felszerelésről, valamint az el- és visszaszállításról a vállalkozás, vagy - a javítószolgálatnál közvetlenül érvényesített kijavítás iránti igény esetén - a javítószolgálat gondoskodik.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7. §</w:t>
      </w:r>
      <w:hyperlink r:id="rId15" w:anchor="lbj11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Ha a fogyasztó a fogyasztási cikk meghibásodása miatt a vásárlástól (üzembe helyezéstől) számított három munkanapon belül érvényesít csereigényt, a vállalkozás nem hivatkozhat a Polgári Törvénykönyvről szóló 2013. évi V. törvény 6:159. § (2) bekezdés </w:t>
      </w: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pontja értelmében aránytalan többletköltségre, hanem köteles a fogyasztási cikket kicserélni, feltéve, hogy a meghibásodás a rendeltetésszerű használatot akadályozza.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7/A. §</w:t>
      </w:r>
      <w:hyperlink r:id="rId16" w:anchor="lbj12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 rendelet alkalmazásában gyártó: a fogyasztási cikkek adásvételének és a kapcsolódó jótállásnak egyes vonatkozásairól szóló, 1999. május 25-i 1999/44/EK európai parlamenti és tanácsi irányelv 1. cikk (2) bekezdés </w:t>
      </w: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d)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pontjában meghatározott gyártó.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7/B. §</w:t>
      </w:r>
      <w:hyperlink r:id="rId17" w:anchor="lbj13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 A 3. §-ban, az 5. § (2)-(4) bekezdésében, valamint a 6. és 7. §-ban foglalt rendelkezések megsértése esetén a fogyasztóvédelmi hatóság jár el a fogyasztóvédelemről szóló törvényben meghatározott szabályok szerint.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 Az (1) bekezdésben megjelölt rendelkezések a fogyasztóvédelemről szóló törvény alkalmazásában fogyasztóvédelmi rendelkezések.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8. §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(1) Ez a rendelet a kihirdetését követő 60. napon lép hatályba; rendelkezéseit a hatálybalépését követően kötött fogyasztói szerződésekre kell alkalmazni.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(2)</w:t>
      </w:r>
      <w:hyperlink r:id="rId18" w:anchor="lbj14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9. §</w:t>
      </w:r>
      <w:hyperlink r:id="rId19" w:anchor="lbj15ida3e8" w:history="1">
        <w:r w:rsidRPr="0057295A">
          <w:rPr>
            <w:rFonts w:ascii="Arial" w:eastAsia="Times New Roman" w:hAnsi="Arial" w:cs="Arial"/>
            <w:b/>
            <w:b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  <w:r w:rsidRPr="0057295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E rendelet 7/A. §-a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fogyasztási cikkek adásvételének és a kapcsolódó jótállásnak egyes vonatkozásairól szóló, 1999. május 25-i 1999/44/EK európai parlamenti és tanácsi irányelv 1. cikk (2) bekezdés </w:t>
      </w:r>
      <w:r w:rsidRPr="0057295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d) 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pontjának való megfelelést szolgálja.</w:t>
      </w:r>
    </w:p>
    <w:p w:rsidR="0057295A" w:rsidRPr="0057295A" w:rsidRDefault="0057295A" w:rsidP="0057295A">
      <w:pPr>
        <w:shd w:val="clear" w:color="auto" w:fill="FFFFFF"/>
        <w:spacing w:beforeAutospacing="1" w:after="75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u w:val="single"/>
          <w:lang w:eastAsia="hu-HU"/>
        </w:rPr>
        <w:t>Melléklet a 151/2003. (IX. 22.) Korm. rendelethez</w:t>
      </w:r>
      <w:hyperlink r:id="rId20" w:anchor="lbj16ida3e8" w:history="1">
        <w:r w:rsidRPr="0057295A">
          <w:rPr>
            <w:rFonts w:ascii="Arial" w:eastAsia="Times New Roman" w:hAnsi="Arial" w:cs="Arial"/>
            <w:b/>
            <w:bCs/>
            <w:i/>
            <w:iCs/>
            <w:color w:val="005B92"/>
            <w:sz w:val="20"/>
            <w:szCs w:val="20"/>
            <w:vertAlign w:val="superscript"/>
            <w:lang w:eastAsia="hu-HU"/>
          </w:rPr>
          <w:t> * </w:t>
        </w:r>
      </w:hyperlink>
    </w:p>
    <w:p w:rsidR="0057295A" w:rsidRPr="0057295A" w:rsidRDefault="0057295A" w:rsidP="0057295A">
      <w:pPr>
        <w:shd w:val="clear" w:color="auto" w:fill="FFFFFF"/>
        <w:spacing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Háztartási készülékek 10 000 Ft eladási ár felett, így különösen hűtőszekrény, fagyasztó, kombinált hűtőszekrény, villanytűzhely, mosógép, centrifuga, szárítógép és ezek bármely kombinációja, mosogatógép, vasaló, vízmelegítő, fűtő-, légkondicionáló- és egyéb légállapot-szabályozó berendezés, porszívó, gőzzel működő tisztítógép, szőnyegtisztító-gép, padlósúroló- és fényesítőgép, varrógép, kötőgép, villanybojler, szivattyú;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2. villamos energiával működtetett konyhai kisgépek 10 000 Ft eladási ár felett, így különösen mikrohullámú sütő, kenyérsütő, kenyérpirító, kávéfőző, kávéfőzőgép, vízforraló, konyhai robotgép, grillsütő, olajsütő, ostyasütő, fánksütő,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gofrisütő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, szendvicssütő, elektromos palacsintasütő, elektromos pizzasütő, elektromos rotyogtatófazék, elektromos serpenyő, elektromos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popcorn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készítő, elektromos 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>kontaktgrill, forgónyárs, mini tűzhely, rizsfőző készülék, tésztafőző, tojásfőző, ételpároló, légkeveréses főzőedény, gyümölcsaszaló;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gázkészülékek 10 000 Ft eladási ár felett, így különösen tűzhely, konvektor, gázkazán, gázbojler, gázgrill, gázzsámoly, gázsütő, gázperzselő, gázlámpa;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4. motoros kerti gépek és nem motoros kertészeti eszközök 10 000 Ft eladási ár felett, így különösen kapálógép, fűnyíró, fűkasza,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tologatós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fűnyíró;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5. motoros kézi szerszámok 10 000 Ft eladási ár felett, így különösen láncfűrész, fúrógép,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ütvefúrógép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, sarokköszörű, körfűrész, gyalu;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6. legalább egyéves kihordási idejű gyógyászati segédeszközök és készülékek, valamint napszemüvegek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 egészségmegőrző termékek és eszközök 10 000 Ft eladási ár felett, így különösen elektromos masszírozó, mágneses termék, fényterápiás eszköz;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8. közlekedési eszközök 10 000 Ft eladási ár felett, így különösen kerékpár, elektromos kerékpár, elektromos roller,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quad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, motorkerékpár, segédmotoros kerékpár, személygépkocsi, lakóautó, lakókocsi, utánfutós lakókocsi, utánfutó;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9. motoros vízi járművek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10. gyermekgondozási cikkek 10 000 Ft eladási ár felett, így különösen pelenkázó-, illetve mosdató-állvány, babakocsi, magas- és asztalra szerelhető etetőszék, biztonsági gyermekülés;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11. gyermekmegfigyelő berendezések 10 000 Ft eladási ár felett, így különösen légzésfigyelő, szívhangfigyelő, bébiőrző;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12. gyermekhinták, csúszdák és hasonló tevékenységet igénylő gyermekjátékok bel- és kültéri, otthoni használatra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13. világítástechnikai termékek 10 000 Ft eladási ár felett, így különösen lámpatest, fényforrás;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14. biztonsági riasztó- és jelzőberendezések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15. elektronikus hírközlő végberendezések 10 000 Ft eladási ár felett, így különösen telefon, mobiltelefon, telefax-készülék, több funkciós készülék;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16. híradástechnikai készülékek 10 000 Ft eladási ár felett, így különösen üzenetrögzítő,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kihangosító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készülék; műholdvevő és AM Micro antenna rendszerek és ezek részegységei, televízió, projektor, videomagnó, rádió, autórádió, rádiós ébresztőóra, műholdas helymeghatározó, lemezjátszó, szalagos és kazettás magnó, CD-felvevő és lejátszó, DVD-felvevő és lejátszó, játékkonzol, Blu-ray lejátszó és -író, asztali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médialejátszó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, egyéni hangrendszer, keverőasztal, erősítő, hangszóró, hangfal, mikrofon és fülhallgató,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head-set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17. információtechnikai készülékek 10 000 Ft eladási ár felett, így különösen asztali számítógép, laptop,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note-book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, tablet, PDA, monitor, nyomtató, szkenner, fényképezőgép, film- és hangfelvevő </w:t>
      </w: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 xml:space="preserve">kamera, videokamera és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camcorder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, diktafon, fotónyomtató, film- és diaszkenner, MP3 és MP4 lejátszó, hordozható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médialejátszó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, pendrive, memóriakártya, akkumulátor-töltő, számológép, zsebszámológép;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18. irodatechnikai berendezések 10 000 Ft eladási ár felett, így különösen iratmegsemmisítő, fénymásoló, laminálógép;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19. írásvetítők és filmtechnikai berendezések 10 000 Ft eladási ár felett, így különösen film- és írásvetítő, filmnagyító, filmelőhívó- és filmfeldolgozó készülék;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20. optikai eszközök 10 000 Ft eladási ár felett, így különösen távcső, látcső, mikroszkóp, teleszkóp;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21. hangszerek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22. órák és ékszerek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23. bel- és kültéri bútorok, fekvőmatracok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24. mérőműszerek, generátorok, tápegységek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25. lőfegyverek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26. sporteszközök, vadászathoz és horgászathoz kapcsolódó eszközök 10 000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27. villamos energiával működtetett szépségápolási eszközök 10 000 Ft eladási ár felett, így különösen hajszárító, hajformázó, testszőrnyíró gép, </w:t>
      </w:r>
      <w:proofErr w:type="spellStart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epillátor</w:t>
      </w:r>
      <w:proofErr w:type="spellEnd"/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, villanyborotva;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28. nemes és félnemes szőrmésbőrből készült szőrmeruházati termékek 50 000 Ft eladási ár felett;</w:t>
      </w:r>
    </w:p>
    <w:p w:rsidR="0057295A" w:rsidRPr="0057295A" w:rsidRDefault="0057295A" w:rsidP="0057295A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7295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29. az előzőekben felsorolt termékcsoportokhoz tartozó termékek tartozékai és alkotórészei 10 000 Ft eladási ár felett.</w:t>
      </w:r>
    </w:p>
    <w:p w:rsidR="00D5034C" w:rsidRPr="0057295A" w:rsidRDefault="00D5034C">
      <w:pPr>
        <w:rPr>
          <w:sz w:val="20"/>
          <w:szCs w:val="20"/>
        </w:rPr>
      </w:pPr>
    </w:p>
    <w:sectPr w:rsidR="00D5034C" w:rsidRPr="0057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5A"/>
    <w:rsid w:val="0057295A"/>
    <w:rsid w:val="00D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93598"/>
  <w15:chartTrackingRefBased/>
  <w15:docId w15:val="{2BE885BB-594D-4435-933C-6D27B99D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72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7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29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7295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300151.kor" TargetMode="External"/><Relationship Id="rId13" Type="http://schemas.openxmlformats.org/officeDocument/2006/relationships/hyperlink" Target="https://net.jogtar.hu/jogszabaly?docid=a0300151.kor" TargetMode="External"/><Relationship Id="rId18" Type="http://schemas.openxmlformats.org/officeDocument/2006/relationships/hyperlink" Target="https://net.jogtar.hu/jogszabaly?docid=a0300151.ko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et.jogtar.hu/jogszabaly?docid=a0300151.kor" TargetMode="External"/><Relationship Id="rId12" Type="http://schemas.openxmlformats.org/officeDocument/2006/relationships/hyperlink" Target="https://net.jogtar.hu/jogszabaly?docid=a0300151.kor" TargetMode="External"/><Relationship Id="rId17" Type="http://schemas.openxmlformats.org/officeDocument/2006/relationships/hyperlink" Target="https://net.jogtar.hu/jogszabaly?docid=a0300151.k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t.jogtar.hu/jogszabaly?docid=a0300151.kor" TargetMode="External"/><Relationship Id="rId20" Type="http://schemas.openxmlformats.org/officeDocument/2006/relationships/hyperlink" Target="https://net.jogtar.hu/jogszabaly?docid=a0300151.kor" TargetMode="Externa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300151.kor" TargetMode="External"/><Relationship Id="rId11" Type="http://schemas.openxmlformats.org/officeDocument/2006/relationships/hyperlink" Target="https://net.jogtar.hu/jogszabaly?docid=a0300151.kor" TargetMode="External"/><Relationship Id="rId5" Type="http://schemas.openxmlformats.org/officeDocument/2006/relationships/hyperlink" Target="https://net.jogtar.hu/jogszabaly?docid=a0300151.kor" TargetMode="External"/><Relationship Id="rId15" Type="http://schemas.openxmlformats.org/officeDocument/2006/relationships/hyperlink" Target="https://net.jogtar.hu/jogszabaly?docid=a0300151.kor" TargetMode="External"/><Relationship Id="rId10" Type="http://schemas.openxmlformats.org/officeDocument/2006/relationships/hyperlink" Target="https://net.jogtar.hu/jogszabaly?docid=a0300151.kor" TargetMode="External"/><Relationship Id="rId19" Type="http://schemas.openxmlformats.org/officeDocument/2006/relationships/hyperlink" Target="https://net.jogtar.hu/jogszabaly?docid=a0300151.kor" TargetMode="External"/><Relationship Id="rId4" Type="http://schemas.openxmlformats.org/officeDocument/2006/relationships/hyperlink" Target="https://net.jogtar.hu/jogszabaly?docid=a0300151.kor" TargetMode="External"/><Relationship Id="rId9" Type="http://schemas.openxmlformats.org/officeDocument/2006/relationships/hyperlink" Target="https://net.jogtar.hu/jogszabaly?docid=a0300151.kor" TargetMode="External"/><Relationship Id="rId14" Type="http://schemas.openxmlformats.org/officeDocument/2006/relationships/hyperlink" Target="https://net.jogtar.hu/jogszabaly?docid=a0300151.k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1648</Words>
  <Characters>11372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Zoltán</dc:creator>
  <cp:keywords/>
  <dc:description/>
  <cp:lastModifiedBy>Kollár Zoltán</cp:lastModifiedBy>
  <cp:revision>1</cp:revision>
  <dcterms:created xsi:type="dcterms:W3CDTF">2018-08-09T12:56:00Z</dcterms:created>
  <dcterms:modified xsi:type="dcterms:W3CDTF">2018-08-09T12:59:00Z</dcterms:modified>
</cp:coreProperties>
</file>